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C3ED9" w14:textId="77777777" w:rsidR="008137CE" w:rsidRDefault="008137CE" w:rsidP="0098532C">
      <w:pPr>
        <w:pStyle w:val="SignatureCompany"/>
        <w:spacing w:line="280" w:lineRule="exact"/>
        <w:ind w:left="0"/>
        <w:rPr>
          <w:rFonts w:asciiTheme="minorHAnsi" w:hAnsiTheme="minorHAnsi" w:cstheme="minorHAnsi"/>
          <w:sz w:val="24"/>
          <w:szCs w:val="24"/>
        </w:rPr>
      </w:pPr>
    </w:p>
    <w:p w14:paraId="22840E69" w14:textId="77777777" w:rsidR="00842423" w:rsidRDefault="00842423" w:rsidP="00330718">
      <w:pPr>
        <w:pStyle w:val="SignatureCompany"/>
        <w:spacing w:line="280" w:lineRule="exact"/>
        <w:ind w:left="0"/>
        <w:jc w:val="center"/>
        <w:rPr>
          <w:rFonts w:asciiTheme="minorHAnsi" w:hAnsiTheme="minorHAnsi" w:cstheme="minorHAnsi"/>
          <w:b/>
          <w:sz w:val="28"/>
          <w:szCs w:val="28"/>
        </w:rPr>
      </w:pPr>
    </w:p>
    <w:p w14:paraId="60DB9B85" w14:textId="77777777" w:rsidR="004D5C4F" w:rsidRDefault="004D5C4F" w:rsidP="00330718">
      <w:pPr>
        <w:pStyle w:val="SignatureCompany"/>
        <w:spacing w:line="280" w:lineRule="exact"/>
        <w:ind w:left="0"/>
        <w:jc w:val="center"/>
        <w:rPr>
          <w:rFonts w:asciiTheme="minorHAnsi" w:hAnsiTheme="minorHAnsi" w:cstheme="minorHAnsi"/>
          <w:b/>
          <w:sz w:val="28"/>
          <w:szCs w:val="28"/>
        </w:rPr>
      </w:pPr>
    </w:p>
    <w:p w14:paraId="3F29841F" w14:textId="797D8EC9" w:rsidR="00FD1D0C" w:rsidRPr="00330718" w:rsidRDefault="008137CE" w:rsidP="00330718">
      <w:pPr>
        <w:pStyle w:val="SignatureCompany"/>
        <w:spacing w:line="280" w:lineRule="exact"/>
        <w:ind w:left="0"/>
        <w:jc w:val="center"/>
        <w:rPr>
          <w:rFonts w:asciiTheme="minorHAnsi" w:hAnsiTheme="minorHAnsi" w:cstheme="minorHAnsi"/>
          <w:b/>
          <w:sz w:val="28"/>
          <w:szCs w:val="28"/>
        </w:rPr>
      </w:pPr>
      <w:r w:rsidRPr="00330718">
        <w:rPr>
          <w:rFonts w:asciiTheme="minorHAnsi" w:hAnsiTheme="minorHAnsi" w:cstheme="minorHAnsi"/>
          <w:b/>
          <w:sz w:val="28"/>
          <w:szCs w:val="28"/>
        </w:rPr>
        <w:t>Robinson Recharge Mobility Hub Fact Sheet</w:t>
      </w:r>
    </w:p>
    <w:p w14:paraId="36BE7905" w14:textId="77777777" w:rsidR="008137CE" w:rsidRDefault="008137CE" w:rsidP="0098532C">
      <w:pPr>
        <w:pStyle w:val="SignatureCompany"/>
        <w:spacing w:line="280" w:lineRule="exact"/>
        <w:ind w:left="0"/>
        <w:rPr>
          <w:rFonts w:asciiTheme="minorHAnsi" w:hAnsiTheme="minorHAnsi" w:cstheme="minorHAnsi"/>
          <w:b/>
          <w:color w:val="92D050"/>
          <w:sz w:val="24"/>
          <w:szCs w:val="24"/>
        </w:rPr>
      </w:pPr>
    </w:p>
    <w:p w14:paraId="443593E7" w14:textId="77777777" w:rsidR="00FD1D0C" w:rsidRPr="00330718" w:rsidRDefault="00FD1D0C" w:rsidP="0098532C">
      <w:pPr>
        <w:pStyle w:val="SignatureCompany"/>
        <w:spacing w:line="280" w:lineRule="exact"/>
        <w:ind w:left="0"/>
        <w:rPr>
          <w:rFonts w:asciiTheme="minorHAnsi" w:hAnsiTheme="minorHAnsi" w:cstheme="minorHAnsi"/>
          <w:b/>
          <w:color w:val="92D050"/>
          <w:sz w:val="24"/>
          <w:szCs w:val="24"/>
        </w:rPr>
      </w:pPr>
      <w:r w:rsidRPr="00330718">
        <w:rPr>
          <w:rFonts w:asciiTheme="minorHAnsi" w:hAnsiTheme="minorHAnsi" w:cstheme="minorHAnsi"/>
          <w:b/>
          <w:color w:val="92D050"/>
          <w:sz w:val="24"/>
          <w:szCs w:val="24"/>
        </w:rPr>
        <w:t>Overview</w:t>
      </w:r>
    </w:p>
    <w:p w14:paraId="4B533ACF" w14:textId="51D4475B" w:rsidR="0020714A" w:rsidRDefault="00FD1D0C" w:rsidP="0098532C">
      <w:pPr>
        <w:pStyle w:val="SignatureCompany"/>
        <w:spacing w:line="280" w:lineRule="exact"/>
        <w:ind w:left="0"/>
        <w:rPr>
          <w:rFonts w:asciiTheme="minorHAnsi" w:hAnsiTheme="minorHAnsi" w:cstheme="minorHAnsi"/>
          <w:sz w:val="22"/>
          <w:szCs w:val="22"/>
        </w:rPr>
      </w:pPr>
      <w:r w:rsidRPr="0020714A">
        <w:rPr>
          <w:rFonts w:asciiTheme="minorHAnsi" w:hAnsiTheme="minorHAnsi" w:cstheme="minorHAnsi"/>
          <w:sz w:val="22"/>
          <w:szCs w:val="22"/>
        </w:rPr>
        <w:t>OUC’s Robinson Recharge Mobility Hub</w:t>
      </w:r>
      <w:r w:rsidR="00C77C83" w:rsidRPr="0020714A">
        <w:rPr>
          <w:rFonts w:asciiTheme="minorHAnsi" w:hAnsiTheme="minorHAnsi" w:cstheme="minorHAnsi"/>
          <w:sz w:val="22"/>
          <w:szCs w:val="22"/>
        </w:rPr>
        <w:t xml:space="preserve"> is </w:t>
      </w:r>
      <w:r w:rsidRPr="0020714A">
        <w:rPr>
          <w:rFonts w:asciiTheme="minorHAnsi" w:hAnsiTheme="minorHAnsi" w:cstheme="minorHAnsi"/>
          <w:sz w:val="22"/>
          <w:szCs w:val="22"/>
        </w:rPr>
        <w:t xml:space="preserve">the largest </w:t>
      </w:r>
      <w:r w:rsidR="008F485D" w:rsidRPr="0020714A">
        <w:rPr>
          <w:rFonts w:asciiTheme="minorHAnsi" w:hAnsiTheme="minorHAnsi" w:cstheme="minorHAnsi"/>
          <w:sz w:val="22"/>
          <w:szCs w:val="22"/>
        </w:rPr>
        <w:t xml:space="preserve">Electric Vehicles (EVs) charging facility </w:t>
      </w:r>
      <w:r w:rsidRPr="0020714A">
        <w:rPr>
          <w:rFonts w:asciiTheme="minorHAnsi" w:hAnsiTheme="minorHAnsi" w:cstheme="minorHAnsi"/>
          <w:sz w:val="22"/>
          <w:szCs w:val="22"/>
        </w:rPr>
        <w:t>of its kind in Florida</w:t>
      </w:r>
      <w:r w:rsidR="00902784" w:rsidRPr="0020714A">
        <w:rPr>
          <w:rFonts w:asciiTheme="minorHAnsi" w:hAnsiTheme="minorHAnsi" w:cstheme="minorHAnsi"/>
          <w:sz w:val="22"/>
          <w:szCs w:val="22"/>
        </w:rPr>
        <w:t xml:space="preserve">. </w:t>
      </w:r>
      <w:r w:rsidR="00EA0A58" w:rsidRPr="0020714A">
        <w:rPr>
          <w:rFonts w:asciiTheme="minorHAnsi" w:hAnsiTheme="minorHAnsi" w:cstheme="minorHAnsi"/>
          <w:sz w:val="22"/>
          <w:szCs w:val="22"/>
        </w:rPr>
        <w:t>Eased into operation</w:t>
      </w:r>
      <w:r w:rsidRPr="0020714A">
        <w:rPr>
          <w:rFonts w:asciiTheme="minorHAnsi" w:hAnsiTheme="minorHAnsi" w:cstheme="minorHAnsi"/>
          <w:sz w:val="22"/>
          <w:szCs w:val="22"/>
        </w:rPr>
        <w:t xml:space="preserve"> with a</w:t>
      </w:r>
      <w:r w:rsidR="00EA0A58" w:rsidRPr="0020714A">
        <w:rPr>
          <w:rFonts w:asciiTheme="minorHAnsi" w:hAnsiTheme="minorHAnsi" w:cstheme="minorHAnsi"/>
          <w:sz w:val="22"/>
          <w:szCs w:val="22"/>
        </w:rPr>
        <w:t xml:space="preserve"> </w:t>
      </w:r>
      <w:r w:rsidRPr="0020714A">
        <w:rPr>
          <w:rFonts w:asciiTheme="minorHAnsi" w:hAnsiTheme="minorHAnsi" w:cstheme="minorHAnsi"/>
          <w:sz w:val="22"/>
          <w:szCs w:val="22"/>
        </w:rPr>
        <w:t xml:space="preserve">soft launch </w:t>
      </w:r>
      <w:r w:rsidR="00EA0A58" w:rsidRPr="0020714A">
        <w:rPr>
          <w:rFonts w:asciiTheme="minorHAnsi" w:hAnsiTheme="minorHAnsi" w:cstheme="minorHAnsi"/>
          <w:sz w:val="22"/>
          <w:szCs w:val="22"/>
        </w:rPr>
        <w:t xml:space="preserve">on </w:t>
      </w:r>
      <w:r w:rsidR="007866A3" w:rsidRPr="0020714A">
        <w:rPr>
          <w:rFonts w:asciiTheme="minorHAnsi" w:hAnsiTheme="minorHAnsi" w:cstheme="minorHAnsi"/>
          <w:sz w:val="22"/>
          <w:szCs w:val="22"/>
        </w:rPr>
        <w:t>July 5</w:t>
      </w:r>
      <w:r w:rsidR="00EA0A58" w:rsidRPr="0020714A">
        <w:rPr>
          <w:rFonts w:asciiTheme="minorHAnsi" w:hAnsiTheme="minorHAnsi" w:cstheme="minorHAnsi"/>
          <w:sz w:val="22"/>
          <w:szCs w:val="22"/>
        </w:rPr>
        <w:t xml:space="preserve">, the site officially opened on </w:t>
      </w:r>
      <w:r w:rsidR="007866A3" w:rsidRPr="0020714A">
        <w:rPr>
          <w:rFonts w:asciiTheme="minorHAnsi" w:hAnsiTheme="minorHAnsi" w:cstheme="minorHAnsi"/>
          <w:sz w:val="22"/>
          <w:szCs w:val="22"/>
        </w:rPr>
        <w:t>July 25</w:t>
      </w:r>
      <w:r w:rsidRPr="0020714A">
        <w:rPr>
          <w:rFonts w:asciiTheme="minorHAnsi" w:hAnsiTheme="minorHAnsi" w:cstheme="minorHAnsi"/>
          <w:sz w:val="22"/>
          <w:szCs w:val="22"/>
        </w:rPr>
        <w:t xml:space="preserve">. Located on Robinson Street near North Garland Avenue, between I-4 and the </w:t>
      </w:r>
      <w:proofErr w:type="spellStart"/>
      <w:r w:rsidRPr="0020714A">
        <w:rPr>
          <w:rFonts w:asciiTheme="minorHAnsi" w:hAnsiTheme="minorHAnsi" w:cstheme="minorHAnsi"/>
          <w:sz w:val="22"/>
          <w:szCs w:val="22"/>
        </w:rPr>
        <w:t>SunRail</w:t>
      </w:r>
      <w:proofErr w:type="spellEnd"/>
      <w:r w:rsidRPr="0020714A">
        <w:rPr>
          <w:rFonts w:asciiTheme="minorHAnsi" w:hAnsiTheme="minorHAnsi" w:cstheme="minorHAnsi"/>
          <w:sz w:val="22"/>
          <w:szCs w:val="22"/>
        </w:rPr>
        <w:t xml:space="preserve"> train tracks in downtown Orlando, the hub inclu</w:t>
      </w:r>
      <w:r w:rsidR="00494910">
        <w:rPr>
          <w:rFonts w:asciiTheme="minorHAnsi" w:hAnsiTheme="minorHAnsi" w:cstheme="minorHAnsi"/>
          <w:sz w:val="22"/>
          <w:szCs w:val="22"/>
        </w:rPr>
        <w:t>des six 240-kilowatt (kW) and 15</w:t>
      </w:r>
      <w:r w:rsidRPr="0020714A">
        <w:rPr>
          <w:rFonts w:asciiTheme="minorHAnsi" w:hAnsiTheme="minorHAnsi" w:cstheme="minorHAnsi"/>
          <w:sz w:val="22"/>
          <w:szCs w:val="22"/>
        </w:rPr>
        <w:t xml:space="preserve"> 120kW Level 3-rated chargers capable of recharging all makes of</w:t>
      </w:r>
      <w:r w:rsidR="008F485D" w:rsidRPr="0020714A">
        <w:rPr>
          <w:rFonts w:asciiTheme="minorHAnsi" w:hAnsiTheme="minorHAnsi" w:cstheme="minorHAnsi"/>
          <w:sz w:val="22"/>
          <w:szCs w:val="22"/>
        </w:rPr>
        <w:t xml:space="preserve"> </w:t>
      </w:r>
      <w:r w:rsidR="008137CE" w:rsidRPr="0020714A">
        <w:rPr>
          <w:rFonts w:asciiTheme="minorHAnsi" w:hAnsiTheme="minorHAnsi" w:cstheme="minorHAnsi"/>
          <w:sz w:val="22"/>
          <w:szCs w:val="22"/>
        </w:rPr>
        <w:t>EVs</w:t>
      </w:r>
      <w:r w:rsidRPr="0020714A">
        <w:rPr>
          <w:rFonts w:asciiTheme="minorHAnsi" w:hAnsiTheme="minorHAnsi" w:cstheme="minorHAnsi"/>
          <w:sz w:val="22"/>
          <w:szCs w:val="22"/>
        </w:rPr>
        <w:t xml:space="preserve">. Using either type of charger, it takes about 20 minutes to charge an EV battery for at least 100 miles of range. </w:t>
      </w:r>
    </w:p>
    <w:p w14:paraId="5B87842E" w14:textId="77777777" w:rsidR="0020714A" w:rsidRDefault="0020714A" w:rsidP="0098532C">
      <w:pPr>
        <w:pStyle w:val="SignatureCompany"/>
        <w:spacing w:line="280" w:lineRule="exact"/>
        <w:ind w:left="0"/>
        <w:rPr>
          <w:rFonts w:asciiTheme="minorHAnsi" w:hAnsiTheme="minorHAnsi" w:cstheme="minorHAnsi"/>
          <w:sz w:val="22"/>
          <w:szCs w:val="22"/>
        </w:rPr>
      </w:pPr>
    </w:p>
    <w:p w14:paraId="42683251" w14:textId="5304002C" w:rsidR="00EA0A58" w:rsidRPr="0020714A" w:rsidRDefault="00EA0A58" w:rsidP="0098532C">
      <w:pPr>
        <w:pStyle w:val="SignatureCompany"/>
        <w:spacing w:line="280" w:lineRule="exact"/>
        <w:ind w:left="0"/>
        <w:rPr>
          <w:rFonts w:asciiTheme="minorHAnsi" w:hAnsiTheme="minorHAnsi" w:cstheme="minorHAnsi"/>
          <w:sz w:val="22"/>
          <w:szCs w:val="22"/>
        </w:rPr>
      </w:pPr>
      <w:r w:rsidRPr="0020714A">
        <w:rPr>
          <w:rFonts w:asciiTheme="minorHAnsi" w:hAnsiTheme="minorHAnsi" w:cstheme="minorHAnsi"/>
          <w:sz w:val="22"/>
          <w:szCs w:val="22"/>
        </w:rPr>
        <w:t xml:space="preserve">The site features 21 CCS-1 adapters, 1 </w:t>
      </w:r>
      <w:proofErr w:type="spellStart"/>
      <w:r w:rsidRPr="0020714A">
        <w:rPr>
          <w:rFonts w:asciiTheme="minorHAnsi" w:hAnsiTheme="minorHAnsi" w:cstheme="minorHAnsi"/>
          <w:sz w:val="22"/>
          <w:szCs w:val="22"/>
        </w:rPr>
        <w:t>CHAdeMO</w:t>
      </w:r>
      <w:proofErr w:type="spellEnd"/>
      <w:r w:rsidRPr="0020714A">
        <w:rPr>
          <w:rFonts w:asciiTheme="minorHAnsi" w:hAnsiTheme="minorHAnsi" w:cstheme="minorHAnsi"/>
          <w:sz w:val="22"/>
          <w:szCs w:val="22"/>
        </w:rPr>
        <w:t xml:space="preserve"> adapter, and 10 Tesla (NACS) adapters. All units have CCS-1 hoses, one has a </w:t>
      </w:r>
      <w:proofErr w:type="spellStart"/>
      <w:r w:rsidRPr="0020714A">
        <w:rPr>
          <w:rFonts w:asciiTheme="minorHAnsi" w:hAnsiTheme="minorHAnsi" w:cstheme="minorHAnsi"/>
          <w:sz w:val="22"/>
          <w:szCs w:val="22"/>
        </w:rPr>
        <w:t>CHAdeMO</w:t>
      </w:r>
      <w:proofErr w:type="spellEnd"/>
      <w:r w:rsidRPr="0020714A">
        <w:rPr>
          <w:rFonts w:asciiTheme="minorHAnsi" w:hAnsiTheme="minorHAnsi" w:cstheme="minorHAnsi"/>
          <w:sz w:val="22"/>
          <w:szCs w:val="22"/>
        </w:rPr>
        <w:t xml:space="preserve"> hose, and there are 10 CCS-1 to NACS individual converters for use. </w:t>
      </w:r>
    </w:p>
    <w:p w14:paraId="4CCC8B20" w14:textId="77777777" w:rsidR="00FD1D0C" w:rsidRPr="00FD1D0C" w:rsidRDefault="00FD1D0C" w:rsidP="0098532C">
      <w:pPr>
        <w:pStyle w:val="SignatureCompany"/>
        <w:spacing w:line="280" w:lineRule="exact"/>
        <w:ind w:left="0"/>
        <w:rPr>
          <w:rFonts w:asciiTheme="minorHAnsi" w:hAnsiTheme="minorHAnsi" w:cstheme="minorHAnsi"/>
          <w:sz w:val="24"/>
          <w:szCs w:val="24"/>
        </w:rPr>
      </w:pPr>
    </w:p>
    <w:p w14:paraId="5E023313" w14:textId="493A274E" w:rsidR="00FD1D0C" w:rsidRPr="00330718" w:rsidRDefault="00FD1D0C" w:rsidP="0098532C">
      <w:pPr>
        <w:pStyle w:val="SignatureCompany"/>
        <w:spacing w:line="280" w:lineRule="exact"/>
        <w:ind w:left="0"/>
        <w:rPr>
          <w:rFonts w:asciiTheme="minorHAnsi" w:hAnsiTheme="minorHAnsi" w:cstheme="minorHAnsi"/>
          <w:b/>
          <w:color w:val="92D050"/>
          <w:sz w:val="24"/>
          <w:szCs w:val="24"/>
        </w:rPr>
      </w:pPr>
      <w:r w:rsidRPr="00330718">
        <w:rPr>
          <w:rFonts w:asciiTheme="minorHAnsi" w:hAnsiTheme="minorHAnsi" w:cstheme="minorHAnsi"/>
          <w:b/>
          <w:color w:val="92D050"/>
          <w:sz w:val="24"/>
          <w:szCs w:val="24"/>
        </w:rPr>
        <w:t>Project Timeline</w:t>
      </w:r>
    </w:p>
    <w:p w14:paraId="156E41B0" w14:textId="3CE0B042" w:rsidR="00FD1D0C" w:rsidRPr="0020714A" w:rsidRDefault="00FD1D0C" w:rsidP="0098532C">
      <w:pPr>
        <w:pStyle w:val="SignatureCompany"/>
        <w:spacing w:line="280" w:lineRule="exact"/>
        <w:ind w:left="0"/>
        <w:rPr>
          <w:rFonts w:asciiTheme="minorHAnsi" w:hAnsiTheme="minorHAnsi" w:cstheme="minorHAnsi"/>
          <w:sz w:val="22"/>
          <w:szCs w:val="22"/>
        </w:rPr>
      </w:pPr>
      <w:r w:rsidRPr="0020714A">
        <w:rPr>
          <w:rFonts w:asciiTheme="minorHAnsi" w:hAnsiTheme="minorHAnsi" w:cstheme="minorHAnsi"/>
          <w:sz w:val="22"/>
          <w:szCs w:val="22"/>
        </w:rPr>
        <w:t xml:space="preserve">Construction began on the project in </w:t>
      </w:r>
      <w:r w:rsidR="007866A3" w:rsidRPr="0020714A">
        <w:rPr>
          <w:rFonts w:asciiTheme="minorHAnsi" w:hAnsiTheme="minorHAnsi" w:cstheme="minorHAnsi"/>
          <w:sz w:val="22"/>
          <w:szCs w:val="22"/>
        </w:rPr>
        <w:t xml:space="preserve">November 2022. </w:t>
      </w:r>
      <w:r w:rsidRPr="0020714A">
        <w:rPr>
          <w:rFonts w:asciiTheme="minorHAnsi" w:hAnsiTheme="minorHAnsi" w:cstheme="minorHAnsi"/>
          <w:sz w:val="22"/>
          <w:szCs w:val="22"/>
        </w:rPr>
        <w:t xml:space="preserve">The hub was originally scheduled to open in </w:t>
      </w:r>
      <w:r w:rsidR="00804190" w:rsidRPr="0020714A">
        <w:rPr>
          <w:rFonts w:asciiTheme="minorHAnsi" w:hAnsiTheme="minorHAnsi" w:cstheme="minorHAnsi"/>
          <w:sz w:val="22"/>
          <w:szCs w:val="22"/>
        </w:rPr>
        <w:t xml:space="preserve">2022 </w:t>
      </w:r>
      <w:r w:rsidRPr="0020714A">
        <w:rPr>
          <w:rFonts w:asciiTheme="minorHAnsi" w:hAnsiTheme="minorHAnsi" w:cstheme="minorHAnsi"/>
          <w:sz w:val="22"/>
          <w:szCs w:val="22"/>
        </w:rPr>
        <w:t>but ran into construction delays due to supply chain disruptions and design changes to charging dispensers. Construction was completed in June 2023</w:t>
      </w:r>
      <w:r w:rsidR="00EA0A58" w:rsidRPr="0020714A">
        <w:rPr>
          <w:rFonts w:asciiTheme="minorHAnsi" w:hAnsiTheme="minorHAnsi" w:cstheme="minorHAnsi"/>
          <w:sz w:val="22"/>
          <w:szCs w:val="22"/>
        </w:rPr>
        <w:t xml:space="preserve"> with a soft opening on July 5</w:t>
      </w:r>
      <w:r w:rsidR="007866A3" w:rsidRPr="0020714A">
        <w:rPr>
          <w:rFonts w:asciiTheme="minorHAnsi" w:hAnsiTheme="minorHAnsi" w:cstheme="minorHAnsi"/>
          <w:sz w:val="22"/>
          <w:szCs w:val="22"/>
        </w:rPr>
        <w:t>.</w:t>
      </w:r>
      <w:r w:rsidR="00745A8C" w:rsidRPr="0020714A">
        <w:rPr>
          <w:rFonts w:asciiTheme="minorHAnsi" w:hAnsiTheme="minorHAnsi" w:cstheme="minorHAnsi"/>
          <w:sz w:val="22"/>
          <w:szCs w:val="22"/>
        </w:rPr>
        <w:t xml:space="preserve"> </w:t>
      </w:r>
    </w:p>
    <w:p w14:paraId="41DAB1FD" w14:textId="77777777" w:rsidR="00FD1D0C" w:rsidRDefault="00FD1D0C" w:rsidP="0098532C">
      <w:pPr>
        <w:pStyle w:val="SignatureCompany"/>
        <w:spacing w:line="280" w:lineRule="exact"/>
        <w:ind w:left="0"/>
        <w:rPr>
          <w:rFonts w:asciiTheme="minorHAnsi" w:hAnsiTheme="minorHAnsi" w:cstheme="minorHAnsi"/>
          <w:b/>
          <w:color w:val="92D050"/>
          <w:sz w:val="24"/>
          <w:szCs w:val="24"/>
        </w:rPr>
      </w:pPr>
    </w:p>
    <w:p w14:paraId="7DEB0176" w14:textId="77777777" w:rsidR="00FD1D0C" w:rsidRPr="00330718" w:rsidRDefault="00FD1D0C" w:rsidP="0098532C">
      <w:pPr>
        <w:pStyle w:val="SignatureCompany"/>
        <w:spacing w:line="280" w:lineRule="exact"/>
        <w:ind w:left="0"/>
        <w:rPr>
          <w:rFonts w:asciiTheme="minorHAnsi" w:hAnsiTheme="minorHAnsi" w:cstheme="minorHAnsi"/>
          <w:b/>
          <w:color w:val="92D050"/>
          <w:sz w:val="24"/>
          <w:szCs w:val="24"/>
        </w:rPr>
      </w:pPr>
      <w:r w:rsidRPr="00330718">
        <w:rPr>
          <w:rFonts w:asciiTheme="minorHAnsi" w:hAnsiTheme="minorHAnsi" w:cstheme="minorHAnsi"/>
          <w:b/>
          <w:color w:val="92D050"/>
          <w:sz w:val="24"/>
          <w:szCs w:val="24"/>
        </w:rPr>
        <w:t xml:space="preserve">Project </w:t>
      </w:r>
      <w:r w:rsidR="00745A8C" w:rsidRPr="00330718">
        <w:rPr>
          <w:rFonts w:asciiTheme="minorHAnsi" w:hAnsiTheme="minorHAnsi" w:cstheme="minorHAnsi"/>
          <w:b/>
          <w:color w:val="92D050"/>
          <w:sz w:val="24"/>
          <w:szCs w:val="24"/>
        </w:rPr>
        <w:t>Funding and Partnerships</w:t>
      </w:r>
    </w:p>
    <w:p w14:paraId="3BA401CE" w14:textId="77777777" w:rsidR="00FD1D0C" w:rsidRPr="0020714A" w:rsidRDefault="00745A8C" w:rsidP="0098532C">
      <w:pPr>
        <w:pStyle w:val="SignatureCompany"/>
        <w:spacing w:line="280" w:lineRule="exact"/>
        <w:ind w:left="0"/>
        <w:rPr>
          <w:rFonts w:asciiTheme="minorHAnsi" w:hAnsiTheme="minorHAnsi" w:cstheme="minorHAnsi"/>
          <w:sz w:val="22"/>
          <w:szCs w:val="22"/>
        </w:rPr>
      </w:pPr>
      <w:r w:rsidRPr="0020714A">
        <w:rPr>
          <w:rFonts w:asciiTheme="minorHAnsi" w:hAnsiTheme="minorHAnsi" w:cstheme="minorHAnsi"/>
          <w:sz w:val="22"/>
          <w:szCs w:val="22"/>
        </w:rPr>
        <w:t xml:space="preserve">The $2.9 million project was partly funded by a $500,000 grant that partners OUC, Power Electronics, the City of Orlando and Orange County secured from the Florida Department of Environmental Protection (DEP). OUC covered most of the remaining costs of the project and donated property for the hub. CHA Engineering oversaw site engineering while </w:t>
      </w:r>
      <w:proofErr w:type="spellStart"/>
      <w:r w:rsidRPr="0020714A">
        <w:rPr>
          <w:rFonts w:asciiTheme="minorHAnsi" w:hAnsiTheme="minorHAnsi" w:cstheme="minorHAnsi"/>
          <w:sz w:val="22"/>
          <w:szCs w:val="22"/>
        </w:rPr>
        <w:t>Aireko</w:t>
      </w:r>
      <w:proofErr w:type="spellEnd"/>
      <w:r w:rsidRPr="0020714A">
        <w:rPr>
          <w:rFonts w:asciiTheme="minorHAnsi" w:hAnsiTheme="minorHAnsi" w:cstheme="minorHAnsi"/>
          <w:sz w:val="22"/>
          <w:szCs w:val="22"/>
        </w:rPr>
        <w:t xml:space="preserve"> Construction built the facility. </w:t>
      </w:r>
      <w:r w:rsidR="00FD1D0C" w:rsidRPr="0020714A">
        <w:rPr>
          <w:rFonts w:asciiTheme="minorHAnsi" w:hAnsiTheme="minorHAnsi" w:cstheme="minorHAnsi"/>
          <w:sz w:val="22"/>
          <w:szCs w:val="22"/>
        </w:rPr>
        <w:t>Power Electronics, an OUC partner on the project, built and supplied the charging dispensers.</w:t>
      </w:r>
    </w:p>
    <w:p w14:paraId="1DE61215" w14:textId="77777777" w:rsidR="00FD1D0C" w:rsidRPr="00FD1D0C" w:rsidRDefault="00FD1D0C" w:rsidP="0098532C">
      <w:pPr>
        <w:pStyle w:val="SignatureCompany"/>
        <w:spacing w:line="280" w:lineRule="exact"/>
        <w:rPr>
          <w:rFonts w:asciiTheme="minorHAnsi" w:hAnsiTheme="minorHAnsi" w:cstheme="minorHAnsi"/>
          <w:sz w:val="24"/>
          <w:szCs w:val="24"/>
        </w:rPr>
      </w:pPr>
    </w:p>
    <w:p w14:paraId="39ACF50B" w14:textId="1ECF7E1B" w:rsidR="007866A3" w:rsidRDefault="00745A8C" w:rsidP="0098532C">
      <w:pPr>
        <w:pStyle w:val="SignatureCompany"/>
        <w:spacing w:line="280" w:lineRule="exact"/>
        <w:ind w:left="0"/>
        <w:rPr>
          <w:rFonts w:asciiTheme="minorHAnsi" w:hAnsiTheme="minorHAnsi" w:cstheme="minorHAnsi"/>
          <w:b/>
          <w:color w:val="92D050"/>
          <w:sz w:val="24"/>
          <w:szCs w:val="24"/>
        </w:rPr>
      </w:pPr>
      <w:r w:rsidRPr="00330718">
        <w:rPr>
          <w:rFonts w:asciiTheme="minorHAnsi" w:hAnsiTheme="minorHAnsi" w:cstheme="minorHAnsi"/>
          <w:b/>
          <w:color w:val="92D050"/>
          <w:sz w:val="24"/>
          <w:szCs w:val="24"/>
        </w:rPr>
        <w:t>Forward Thinking Statements</w:t>
      </w:r>
    </w:p>
    <w:p w14:paraId="4291AEF4" w14:textId="331F0104" w:rsidR="007866A3" w:rsidRPr="0020714A" w:rsidRDefault="007866A3" w:rsidP="007866A3">
      <w:pPr>
        <w:pStyle w:val="SignatureCompany"/>
        <w:numPr>
          <w:ilvl w:val="0"/>
          <w:numId w:val="3"/>
        </w:numPr>
        <w:spacing w:line="280" w:lineRule="exact"/>
        <w:rPr>
          <w:rFonts w:asciiTheme="minorHAnsi" w:hAnsiTheme="minorHAnsi" w:cstheme="minorHAnsi"/>
          <w:sz w:val="22"/>
          <w:szCs w:val="22"/>
        </w:rPr>
      </w:pPr>
      <w:r w:rsidRPr="0020714A">
        <w:rPr>
          <w:rFonts w:asciiTheme="minorHAnsi" w:hAnsiTheme="minorHAnsi" w:cstheme="minorHAnsi"/>
          <w:sz w:val="22"/>
          <w:szCs w:val="22"/>
        </w:rPr>
        <w:t>There are 210,143 EVs registered in Florida as of Jul ’23, up 42% over Jul ’22 registrations</w:t>
      </w:r>
      <w:r w:rsidR="00CD0140" w:rsidRPr="0020714A">
        <w:rPr>
          <w:rFonts w:asciiTheme="minorHAnsi" w:hAnsiTheme="minorHAnsi" w:cstheme="minorHAnsi"/>
          <w:sz w:val="22"/>
          <w:szCs w:val="22"/>
        </w:rPr>
        <w:t>.</w:t>
      </w:r>
      <w:r w:rsidRPr="0020714A">
        <w:rPr>
          <w:rFonts w:asciiTheme="minorHAnsi" w:hAnsiTheme="minorHAnsi" w:cstheme="minorHAnsi"/>
          <w:sz w:val="22"/>
          <w:szCs w:val="22"/>
        </w:rPr>
        <w:t xml:space="preserve"> </w:t>
      </w:r>
    </w:p>
    <w:p w14:paraId="69F197F0" w14:textId="4776BAA4" w:rsidR="007866A3" w:rsidRPr="0020714A" w:rsidRDefault="007866A3" w:rsidP="007866A3">
      <w:pPr>
        <w:pStyle w:val="SignatureCompany"/>
        <w:numPr>
          <w:ilvl w:val="0"/>
          <w:numId w:val="3"/>
        </w:numPr>
        <w:spacing w:line="280" w:lineRule="exact"/>
        <w:rPr>
          <w:rFonts w:asciiTheme="minorHAnsi" w:hAnsiTheme="minorHAnsi" w:cstheme="minorHAnsi"/>
          <w:sz w:val="22"/>
          <w:szCs w:val="22"/>
        </w:rPr>
      </w:pPr>
      <w:r w:rsidRPr="0020714A">
        <w:rPr>
          <w:rFonts w:asciiTheme="minorHAnsi" w:hAnsiTheme="minorHAnsi" w:cstheme="minorHAnsi"/>
          <w:sz w:val="22"/>
          <w:szCs w:val="22"/>
        </w:rPr>
        <w:t>In Orange and Osceola Counties there are 23,329 EV vehicles registered, 11% of Florida’s total registrations</w:t>
      </w:r>
      <w:r w:rsidR="00CD0140" w:rsidRPr="0020714A">
        <w:rPr>
          <w:rFonts w:asciiTheme="minorHAnsi" w:hAnsiTheme="minorHAnsi" w:cstheme="minorHAnsi"/>
          <w:sz w:val="22"/>
          <w:szCs w:val="22"/>
        </w:rPr>
        <w:t>.</w:t>
      </w:r>
    </w:p>
    <w:p w14:paraId="745EAF19" w14:textId="30E2EFCC" w:rsidR="007866A3" w:rsidRPr="0020714A" w:rsidRDefault="007866A3" w:rsidP="007866A3">
      <w:pPr>
        <w:pStyle w:val="SignatureCompany"/>
        <w:numPr>
          <w:ilvl w:val="0"/>
          <w:numId w:val="3"/>
        </w:numPr>
        <w:spacing w:line="280" w:lineRule="exact"/>
        <w:rPr>
          <w:rFonts w:asciiTheme="minorHAnsi" w:hAnsiTheme="minorHAnsi" w:cstheme="minorHAnsi"/>
          <w:sz w:val="22"/>
          <w:szCs w:val="22"/>
        </w:rPr>
      </w:pPr>
      <w:r w:rsidRPr="0020714A">
        <w:rPr>
          <w:rFonts w:asciiTheme="minorHAnsi" w:hAnsiTheme="minorHAnsi" w:cstheme="minorHAnsi"/>
          <w:sz w:val="22"/>
          <w:szCs w:val="22"/>
        </w:rPr>
        <w:t>There are 243 level 3 public chargers in Osceola and Orange County – 75% of those chargers are Tesla NACS chargers</w:t>
      </w:r>
      <w:r w:rsidR="00CD0140" w:rsidRPr="0020714A">
        <w:rPr>
          <w:rFonts w:asciiTheme="minorHAnsi" w:hAnsiTheme="minorHAnsi" w:cstheme="minorHAnsi"/>
          <w:sz w:val="22"/>
          <w:szCs w:val="22"/>
        </w:rPr>
        <w:t>.</w:t>
      </w:r>
    </w:p>
    <w:p w14:paraId="6FC0BDA4" w14:textId="0D16288C" w:rsidR="007866A3" w:rsidRPr="0020714A" w:rsidRDefault="007866A3" w:rsidP="007866A3">
      <w:pPr>
        <w:pStyle w:val="SignatureCompany"/>
        <w:numPr>
          <w:ilvl w:val="0"/>
          <w:numId w:val="3"/>
        </w:numPr>
        <w:spacing w:line="280" w:lineRule="exact"/>
        <w:rPr>
          <w:rFonts w:asciiTheme="minorHAnsi" w:hAnsiTheme="minorHAnsi" w:cstheme="minorHAnsi"/>
          <w:sz w:val="22"/>
          <w:szCs w:val="22"/>
        </w:rPr>
      </w:pPr>
      <w:r w:rsidRPr="0020714A">
        <w:rPr>
          <w:rFonts w:asciiTheme="minorHAnsi" w:hAnsiTheme="minorHAnsi" w:cstheme="minorHAnsi"/>
          <w:sz w:val="22"/>
          <w:szCs w:val="22"/>
        </w:rPr>
        <w:t>Orange is one of the top 4 counties for EV adoption approaching 2% of registered vehicles</w:t>
      </w:r>
      <w:r w:rsidR="00CD0140" w:rsidRPr="0020714A">
        <w:rPr>
          <w:rFonts w:asciiTheme="minorHAnsi" w:hAnsiTheme="minorHAnsi" w:cstheme="minorHAnsi"/>
          <w:sz w:val="22"/>
          <w:szCs w:val="22"/>
        </w:rPr>
        <w:t>.</w:t>
      </w:r>
      <w:r w:rsidRPr="0020714A">
        <w:rPr>
          <w:rFonts w:asciiTheme="minorHAnsi" w:hAnsiTheme="minorHAnsi" w:cstheme="minorHAnsi"/>
          <w:sz w:val="22"/>
          <w:szCs w:val="22"/>
        </w:rPr>
        <w:t xml:space="preserve"> </w:t>
      </w:r>
    </w:p>
    <w:p w14:paraId="0D5B6FF5" w14:textId="27B498ED" w:rsidR="00745A8C" w:rsidRPr="0020714A" w:rsidRDefault="00FD1D0C" w:rsidP="007866A3">
      <w:pPr>
        <w:pStyle w:val="SignatureCompany"/>
        <w:numPr>
          <w:ilvl w:val="0"/>
          <w:numId w:val="3"/>
        </w:numPr>
        <w:spacing w:line="280" w:lineRule="exact"/>
        <w:rPr>
          <w:rFonts w:asciiTheme="minorHAnsi" w:hAnsiTheme="minorHAnsi" w:cstheme="minorHAnsi"/>
          <w:sz w:val="22"/>
          <w:szCs w:val="22"/>
        </w:rPr>
      </w:pPr>
      <w:r w:rsidRPr="0020714A">
        <w:rPr>
          <w:rFonts w:asciiTheme="minorHAnsi" w:hAnsiTheme="minorHAnsi" w:cstheme="minorHAnsi"/>
          <w:sz w:val="22"/>
          <w:szCs w:val="22"/>
        </w:rPr>
        <w:t>In 2022, DEP awarded the OUC-led partnership up to an additional $</w:t>
      </w:r>
      <w:r w:rsidR="00C653BB">
        <w:rPr>
          <w:rFonts w:asciiTheme="minorHAnsi" w:hAnsiTheme="minorHAnsi" w:cstheme="minorHAnsi"/>
          <w:sz w:val="22"/>
          <w:szCs w:val="22"/>
        </w:rPr>
        <w:t>266,8</w:t>
      </w:r>
      <w:r w:rsidRPr="0020714A">
        <w:rPr>
          <w:rFonts w:asciiTheme="minorHAnsi" w:hAnsiTheme="minorHAnsi" w:cstheme="minorHAnsi"/>
          <w:sz w:val="22"/>
          <w:szCs w:val="22"/>
        </w:rPr>
        <w:t xml:space="preserve">00 grant to build a high-speed charging hub at the Orange County Convention Center South Concourse parking lot. Construction is anticipated to begin this fall. </w:t>
      </w:r>
      <w:r w:rsidR="006E166F" w:rsidRPr="006E166F">
        <w:rPr>
          <w:rFonts w:asciiTheme="minorHAnsi" w:hAnsiTheme="minorHAnsi" w:cstheme="minorHAnsi"/>
          <w:color w:val="000000"/>
          <w:sz w:val="22"/>
          <w:szCs w:val="22"/>
        </w:rPr>
        <w:t>The site will initially offer six 240kW Level 3-rated charging dispensers, but could add as many as 12 Level 3 chargers in the future.</w:t>
      </w:r>
      <w:r w:rsidRPr="0020714A">
        <w:rPr>
          <w:rFonts w:asciiTheme="minorHAnsi" w:hAnsiTheme="minorHAnsi" w:cstheme="minorHAnsi"/>
          <w:sz w:val="22"/>
          <w:szCs w:val="22"/>
        </w:rPr>
        <w:t xml:space="preserve"> </w:t>
      </w:r>
    </w:p>
    <w:p w14:paraId="07E2C640" w14:textId="77777777" w:rsidR="00745A8C" w:rsidRPr="0020714A" w:rsidRDefault="00FD1D0C" w:rsidP="0098532C">
      <w:pPr>
        <w:pStyle w:val="SignatureCompany"/>
        <w:numPr>
          <w:ilvl w:val="0"/>
          <w:numId w:val="3"/>
        </w:numPr>
        <w:spacing w:line="280" w:lineRule="exact"/>
        <w:rPr>
          <w:rFonts w:asciiTheme="minorHAnsi" w:hAnsiTheme="minorHAnsi" w:cstheme="minorHAnsi"/>
          <w:sz w:val="22"/>
          <w:szCs w:val="22"/>
        </w:rPr>
      </w:pPr>
      <w:r w:rsidRPr="0020714A">
        <w:rPr>
          <w:rFonts w:asciiTheme="minorHAnsi" w:hAnsiTheme="minorHAnsi" w:cstheme="minorHAnsi"/>
          <w:sz w:val="22"/>
          <w:szCs w:val="22"/>
        </w:rPr>
        <w:t>OUC plans to build six more charging hubs by 2030.</w:t>
      </w:r>
    </w:p>
    <w:p w14:paraId="21DC3A3A" w14:textId="77777777" w:rsidR="00745A8C" w:rsidRPr="0020714A" w:rsidRDefault="00745A8C" w:rsidP="0098532C">
      <w:pPr>
        <w:pStyle w:val="SignatureCompany"/>
        <w:numPr>
          <w:ilvl w:val="0"/>
          <w:numId w:val="3"/>
        </w:numPr>
        <w:spacing w:line="280" w:lineRule="exact"/>
        <w:rPr>
          <w:rFonts w:asciiTheme="minorHAnsi" w:hAnsiTheme="minorHAnsi" w:cstheme="minorHAnsi"/>
          <w:sz w:val="22"/>
          <w:szCs w:val="22"/>
        </w:rPr>
      </w:pPr>
      <w:r w:rsidRPr="0020714A">
        <w:rPr>
          <w:rFonts w:asciiTheme="minorHAnsi" w:hAnsiTheme="minorHAnsi" w:cstheme="minorHAnsi"/>
          <w:sz w:val="22"/>
          <w:szCs w:val="22"/>
        </w:rPr>
        <w:t xml:space="preserve">High-speed charging hubs are projected to bring in $1.38 million in annualized energy sales to OUC by </w:t>
      </w:r>
      <w:bookmarkStart w:id="0" w:name="_GoBack"/>
      <w:r w:rsidRPr="0020714A">
        <w:rPr>
          <w:rFonts w:asciiTheme="minorHAnsi" w:hAnsiTheme="minorHAnsi" w:cstheme="minorHAnsi"/>
          <w:sz w:val="22"/>
          <w:szCs w:val="22"/>
        </w:rPr>
        <w:t>20</w:t>
      </w:r>
      <w:bookmarkEnd w:id="0"/>
      <w:r w:rsidRPr="0020714A">
        <w:rPr>
          <w:rFonts w:asciiTheme="minorHAnsi" w:hAnsiTheme="minorHAnsi" w:cstheme="minorHAnsi"/>
          <w:sz w:val="22"/>
          <w:szCs w:val="22"/>
        </w:rPr>
        <w:t>25.</w:t>
      </w:r>
    </w:p>
    <w:p w14:paraId="48C247EE" w14:textId="09347F98" w:rsidR="008137CE" w:rsidRPr="00FD1D0C" w:rsidRDefault="008137CE" w:rsidP="008F485D">
      <w:pPr>
        <w:rPr>
          <w:rFonts w:asciiTheme="minorHAnsi" w:hAnsiTheme="minorHAnsi" w:cstheme="minorHAnsi"/>
          <w:sz w:val="24"/>
          <w:szCs w:val="24"/>
        </w:rPr>
      </w:pPr>
    </w:p>
    <w:p w14:paraId="604E4B54" w14:textId="77777777" w:rsidR="008137CE" w:rsidRDefault="008137CE" w:rsidP="0098532C">
      <w:pPr>
        <w:pStyle w:val="SignatureCompany"/>
        <w:spacing w:line="280" w:lineRule="exact"/>
        <w:ind w:left="0"/>
        <w:rPr>
          <w:rFonts w:asciiTheme="minorHAnsi" w:hAnsiTheme="minorHAnsi" w:cstheme="minorHAnsi"/>
          <w:sz w:val="24"/>
          <w:szCs w:val="24"/>
        </w:rPr>
      </w:pPr>
    </w:p>
    <w:p w14:paraId="36ACB580" w14:textId="77777777" w:rsidR="00842423" w:rsidRDefault="00842423" w:rsidP="0098532C">
      <w:pPr>
        <w:pStyle w:val="SignatureCompany"/>
        <w:spacing w:line="280" w:lineRule="exact"/>
        <w:ind w:left="0"/>
        <w:jc w:val="center"/>
        <w:rPr>
          <w:rFonts w:asciiTheme="minorHAnsi" w:hAnsiTheme="minorHAnsi" w:cstheme="minorHAnsi"/>
          <w:b/>
          <w:sz w:val="28"/>
          <w:szCs w:val="28"/>
        </w:rPr>
      </w:pPr>
    </w:p>
    <w:p w14:paraId="6D67FA88" w14:textId="77777777" w:rsidR="004A1D13" w:rsidRPr="00FD1D0C" w:rsidRDefault="004A1D13" w:rsidP="00330718">
      <w:pPr>
        <w:pStyle w:val="SignatureCompany"/>
        <w:spacing w:line="280" w:lineRule="exact"/>
        <w:ind w:left="0"/>
        <w:rPr>
          <w:rFonts w:asciiTheme="minorHAnsi" w:hAnsiTheme="minorHAnsi" w:cstheme="minorHAnsi"/>
          <w:sz w:val="24"/>
          <w:szCs w:val="24"/>
        </w:rPr>
      </w:pPr>
    </w:p>
    <w:sectPr w:rsidR="004A1D13" w:rsidRPr="00FD1D0C" w:rsidSect="00073BA8">
      <w:headerReference w:type="default" r:id="rId7"/>
      <w:footerReference w:type="default" r:id="rId8"/>
      <w:pgSz w:w="12240" w:h="15840" w:code="1"/>
      <w:pgMar w:top="691" w:right="1440" w:bottom="61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299E3" w14:textId="77777777" w:rsidR="005A6D63" w:rsidRDefault="005A6D63">
      <w:r>
        <w:separator/>
      </w:r>
    </w:p>
  </w:endnote>
  <w:endnote w:type="continuationSeparator" w:id="0">
    <w:p w14:paraId="264AB8DC" w14:textId="77777777" w:rsidR="005A6D63" w:rsidRDefault="005A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BDF7" w14:textId="77777777" w:rsidR="00415542" w:rsidRPr="00FD578E" w:rsidRDefault="00415542" w:rsidP="00415542">
    <w:pPr>
      <w:pStyle w:val="Pa0"/>
      <w:framePr w:w="3230" w:wrap="auto" w:vAnchor="page" w:hAnchor="page" w:x="4462" w:y="14705"/>
      <w:jc w:val="center"/>
      <w:rPr>
        <w:rFonts w:cs="Calibri"/>
        <w:caps/>
        <w:color w:val="000000"/>
        <w:sz w:val="18"/>
        <w:szCs w:val="18"/>
      </w:rPr>
    </w:pPr>
    <w:r w:rsidRPr="00FD578E">
      <w:rPr>
        <w:rStyle w:val="A0"/>
        <w:rFonts w:cs="Calibri"/>
        <w:b/>
        <w:bCs/>
        <w:caps/>
        <w:szCs w:val="18"/>
      </w:rPr>
      <w:t>Orlando Utilities Commission</w:t>
    </w:r>
  </w:p>
  <w:p w14:paraId="733060A7" w14:textId="77777777" w:rsidR="00415542" w:rsidRDefault="00415542" w:rsidP="00415542">
    <w:pPr>
      <w:pStyle w:val="Pa0"/>
      <w:framePr w:w="11305" w:wrap="auto" w:vAnchor="page" w:hAnchor="page" w:x="382" w:y="15065"/>
      <w:jc w:val="center"/>
    </w:pPr>
    <w:r>
      <w:rPr>
        <w:rStyle w:val="A0"/>
        <w:rFonts w:cs="Calibri"/>
        <w:szCs w:val="18"/>
      </w:rPr>
      <w:t xml:space="preserve">Reliable Plaza at 100 West Anderson St   |   P O Box </w:t>
    </w:r>
    <w:proofErr w:type="gramStart"/>
    <w:r>
      <w:rPr>
        <w:rStyle w:val="A0"/>
        <w:rFonts w:cs="Calibri"/>
        <w:szCs w:val="18"/>
      </w:rPr>
      <w:t>3193  |</w:t>
    </w:r>
    <w:proofErr w:type="gramEnd"/>
    <w:r>
      <w:rPr>
        <w:rStyle w:val="A0"/>
        <w:rFonts w:cs="Calibri"/>
        <w:szCs w:val="18"/>
      </w:rPr>
      <w:t xml:space="preserve">  Orlando, FL 32802   |   407.423.9100  Tel   |   407.236.9616  Fax   |   www.ouc.com</w:t>
    </w:r>
  </w:p>
  <w:p w14:paraId="21F8E227" w14:textId="77777777" w:rsidR="00415542" w:rsidRDefault="00415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8E15A" w14:textId="77777777" w:rsidR="005A6D63" w:rsidRDefault="005A6D63">
      <w:r>
        <w:separator/>
      </w:r>
    </w:p>
  </w:footnote>
  <w:footnote w:type="continuationSeparator" w:id="0">
    <w:p w14:paraId="47D51C1E" w14:textId="77777777" w:rsidR="005A6D63" w:rsidRDefault="005A6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72C3" w14:textId="77777777" w:rsidR="00415542" w:rsidRDefault="00C13911" w:rsidP="00C13911">
    <w:pPr>
      <w:pStyle w:val="Header"/>
      <w:jc w:val="center"/>
    </w:pPr>
    <w:r w:rsidRPr="00472333">
      <w:rPr>
        <w:noProof/>
      </w:rPr>
      <w:drawing>
        <wp:inline distT="0" distB="0" distL="0" distR="0" wp14:anchorId="626D392E" wp14:editId="13378383">
          <wp:extent cx="17526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3E50"/>
    <w:multiLevelType w:val="hybridMultilevel"/>
    <w:tmpl w:val="91ECA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3780A"/>
    <w:multiLevelType w:val="hybridMultilevel"/>
    <w:tmpl w:val="C236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93419"/>
    <w:multiLevelType w:val="hybridMultilevel"/>
    <w:tmpl w:val="B3BA8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F1562"/>
    <w:multiLevelType w:val="hybridMultilevel"/>
    <w:tmpl w:val="110A2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4C4E72"/>
    <w:multiLevelType w:val="hybridMultilevel"/>
    <w:tmpl w:val="5536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855F0"/>
    <w:multiLevelType w:val="hybridMultilevel"/>
    <w:tmpl w:val="4004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45444"/>
    <w:multiLevelType w:val="hybridMultilevel"/>
    <w:tmpl w:val="13C2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C26B5"/>
    <w:multiLevelType w:val="hybridMultilevel"/>
    <w:tmpl w:val="7194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55475"/>
    <w:multiLevelType w:val="hybridMultilevel"/>
    <w:tmpl w:val="9C1A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06BCC"/>
    <w:multiLevelType w:val="hybridMultilevel"/>
    <w:tmpl w:val="9C7E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3"/>
  </w:num>
  <w:num w:numId="6">
    <w:abstractNumId w:val="7"/>
  </w:num>
  <w:num w:numId="7">
    <w:abstractNumId w:val="9"/>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A9"/>
    <w:rsid w:val="0002521E"/>
    <w:rsid w:val="00055B65"/>
    <w:rsid w:val="00073BA8"/>
    <w:rsid w:val="000E3365"/>
    <w:rsid w:val="001176C5"/>
    <w:rsid w:val="00127BC7"/>
    <w:rsid w:val="001C0DB5"/>
    <w:rsid w:val="001D7937"/>
    <w:rsid w:val="0020714A"/>
    <w:rsid w:val="00290F19"/>
    <w:rsid w:val="002C6B4A"/>
    <w:rsid w:val="002E71E8"/>
    <w:rsid w:val="0030445E"/>
    <w:rsid w:val="00311628"/>
    <w:rsid w:val="00330718"/>
    <w:rsid w:val="003373B9"/>
    <w:rsid w:val="00415542"/>
    <w:rsid w:val="00416463"/>
    <w:rsid w:val="004215A9"/>
    <w:rsid w:val="00472333"/>
    <w:rsid w:val="00494910"/>
    <w:rsid w:val="00495409"/>
    <w:rsid w:val="004A1D13"/>
    <w:rsid w:val="004D5C4F"/>
    <w:rsid w:val="004E3C78"/>
    <w:rsid w:val="005A6D63"/>
    <w:rsid w:val="006B02B1"/>
    <w:rsid w:val="006E166F"/>
    <w:rsid w:val="006F3DFF"/>
    <w:rsid w:val="0074409A"/>
    <w:rsid w:val="00745A8C"/>
    <w:rsid w:val="0075412C"/>
    <w:rsid w:val="007866A3"/>
    <w:rsid w:val="007C02A9"/>
    <w:rsid w:val="007E2EE3"/>
    <w:rsid w:val="007F63BA"/>
    <w:rsid w:val="00802314"/>
    <w:rsid w:val="00804190"/>
    <w:rsid w:val="008137CE"/>
    <w:rsid w:val="008242C3"/>
    <w:rsid w:val="00842423"/>
    <w:rsid w:val="00844DAB"/>
    <w:rsid w:val="00871638"/>
    <w:rsid w:val="00882A0A"/>
    <w:rsid w:val="008D1DEE"/>
    <w:rsid w:val="008F485D"/>
    <w:rsid w:val="00902784"/>
    <w:rsid w:val="00965305"/>
    <w:rsid w:val="0098532C"/>
    <w:rsid w:val="009C7172"/>
    <w:rsid w:val="00A52409"/>
    <w:rsid w:val="00BD4D7F"/>
    <w:rsid w:val="00C13911"/>
    <w:rsid w:val="00C17FEB"/>
    <w:rsid w:val="00C2329C"/>
    <w:rsid w:val="00C653BB"/>
    <w:rsid w:val="00C77C83"/>
    <w:rsid w:val="00C953B2"/>
    <w:rsid w:val="00CD0140"/>
    <w:rsid w:val="00EA0A58"/>
    <w:rsid w:val="00F139CE"/>
    <w:rsid w:val="00F53E20"/>
    <w:rsid w:val="00FA2754"/>
    <w:rsid w:val="00FB377E"/>
    <w:rsid w:val="00FD1D0C"/>
    <w:rsid w:val="00FD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67A4C"/>
  <w14:defaultImageDpi w14:val="0"/>
  <w15:docId w15:val="{7BC90FD5-56A7-4325-BE23-A6E21623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color w:val="0082C7"/>
      <w:sz w:val="18"/>
    </w:rPr>
  </w:style>
  <w:style w:type="paragraph" w:styleId="BalloonText">
    <w:name w:val="Balloon Text"/>
    <w:basedOn w:val="Normal"/>
    <w:link w:val="BalloonTextChar"/>
    <w:uiPriority w:val="99"/>
    <w:semiHidden/>
    <w:rsid w:val="00A52409"/>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paragraph" w:styleId="Header">
    <w:name w:val="header"/>
    <w:basedOn w:val="Normal"/>
    <w:link w:val="HeaderChar"/>
    <w:uiPriority w:val="99"/>
    <w:rsid w:val="00415542"/>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415542"/>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paragraph" w:styleId="Salutation">
    <w:name w:val="Salutation"/>
    <w:basedOn w:val="Normal"/>
    <w:next w:val="Normal"/>
    <w:link w:val="SalutationChar"/>
    <w:uiPriority w:val="99"/>
    <w:semiHidden/>
    <w:rsid w:val="00415542"/>
  </w:style>
  <w:style w:type="character" w:customStyle="1" w:styleId="SalutationChar">
    <w:name w:val="Salutation Char"/>
    <w:link w:val="Salutation"/>
    <w:uiPriority w:val="99"/>
    <w:semiHidden/>
    <w:locked/>
    <w:rPr>
      <w:rFonts w:cs="Times New Roman"/>
      <w:sz w:val="20"/>
      <w:szCs w:val="20"/>
    </w:rPr>
  </w:style>
  <w:style w:type="paragraph" w:styleId="Closing">
    <w:name w:val="Closing"/>
    <w:basedOn w:val="Normal"/>
    <w:link w:val="ClosingChar"/>
    <w:uiPriority w:val="99"/>
    <w:semiHidden/>
    <w:rsid w:val="00415542"/>
    <w:pPr>
      <w:ind w:left="4320"/>
    </w:pPr>
  </w:style>
  <w:style w:type="character" w:customStyle="1" w:styleId="ClosingChar">
    <w:name w:val="Closing Char"/>
    <w:link w:val="Closing"/>
    <w:uiPriority w:val="99"/>
    <w:semiHidden/>
    <w:locked/>
    <w:rPr>
      <w:rFonts w:cs="Times New Roman"/>
      <w:sz w:val="20"/>
      <w:szCs w:val="20"/>
    </w:rPr>
  </w:style>
  <w:style w:type="paragraph" w:styleId="Signature">
    <w:name w:val="Signature"/>
    <w:basedOn w:val="Normal"/>
    <w:link w:val="SignatureChar"/>
    <w:uiPriority w:val="99"/>
    <w:semiHidden/>
    <w:rsid w:val="00415542"/>
    <w:pPr>
      <w:ind w:left="4320"/>
    </w:pPr>
  </w:style>
  <w:style w:type="character" w:customStyle="1" w:styleId="SignatureChar">
    <w:name w:val="Signature Char"/>
    <w:link w:val="Signature"/>
    <w:uiPriority w:val="99"/>
    <w:semiHidden/>
    <w:locked/>
    <w:rPr>
      <w:rFonts w:cs="Times New Roman"/>
      <w:sz w:val="20"/>
      <w:szCs w:val="20"/>
    </w:rPr>
  </w:style>
  <w:style w:type="paragraph" w:customStyle="1" w:styleId="SignatureJobTitle">
    <w:name w:val="Signature Job Title"/>
    <w:basedOn w:val="Signature"/>
    <w:uiPriority w:val="99"/>
    <w:rsid w:val="00415542"/>
  </w:style>
  <w:style w:type="paragraph" w:customStyle="1" w:styleId="SignatureCompany">
    <w:name w:val="Signature Company"/>
    <w:basedOn w:val="Signature"/>
    <w:uiPriority w:val="99"/>
    <w:rsid w:val="00415542"/>
  </w:style>
  <w:style w:type="paragraph" w:styleId="BodyText2">
    <w:name w:val="Body Text 2"/>
    <w:basedOn w:val="Normal"/>
    <w:link w:val="BodyText2Char"/>
    <w:uiPriority w:val="99"/>
    <w:semiHidden/>
    <w:rsid w:val="00415542"/>
    <w:pPr>
      <w:spacing w:line="280" w:lineRule="exact"/>
    </w:pPr>
    <w:rPr>
      <w:sz w:val="24"/>
    </w:rPr>
  </w:style>
  <w:style w:type="character" w:customStyle="1" w:styleId="BodyText2Char">
    <w:name w:val="Body Text 2 Char"/>
    <w:link w:val="BodyText2"/>
    <w:uiPriority w:val="99"/>
    <w:semiHidden/>
    <w:locked/>
    <w:rPr>
      <w:rFonts w:cs="Times New Roman"/>
      <w:sz w:val="20"/>
      <w:szCs w:val="20"/>
    </w:rPr>
  </w:style>
  <w:style w:type="character" w:styleId="Hyperlink">
    <w:name w:val="Hyperlink"/>
    <w:uiPriority w:val="99"/>
    <w:semiHidden/>
    <w:rsid w:val="00415542"/>
    <w:rPr>
      <w:rFonts w:cs="Times New Roman"/>
      <w:color w:val="0000FF"/>
      <w:u w:val="single"/>
    </w:rPr>
  </w:style>
  <w:style w:type="character" w:styleId="CommentReference">
    <w:name w:val="annotation reference"/>
    <w:basedOn w:val="DefaultParagraphFont"/>
    <w:uiPriority w:val="99"/>
    <w:semiHidden/>
    <w:unhideWhenUsed/>
    <w:rsid w:val="0098532C"/>
    <w:rPr>
      <w:sz w:val="16"/>
      <w:szCs w:val="16"/>
    </w:rPr>
  </w:style>
  <w:style w:type="paragraph" w:styleId="CommentText">
    <w:name w:val="annotation text"/>
    <w:basedOn w:val="Normal"/>
    <w:link w:val="CommentTextChar"/>
    <w:uiPriority w:val="99"/>
    <w:semiHidden/>
    <w:unhideWhenUsed/>
    <w:rsid w:val="0098532C"/>
  </w:style>
  <w:style w:type="character" w:customStyle="1" w:styleId="CommentTextChar">
    <w:name w:val="Comment Text Char"/>
    <w:basedOn w:val="DefaultParagraphFont"/>
    <w:link w:val="CommentText"/>
    <w:uiPriority w:val="99"/>
    <w:semiHidden/>
    <w:rsid w:val="0098532C"/>
  </w:style>
  <w:style w:type="paragraph" w:styleId="CommentSubject">
    <w:name w:val="annotation subject"/>
    <w:basedOn w:val="CommentText"/>
    <w:next w:val="CommentText"/>
    <w:link w:val="CommentSubjectChar"/>
    <w:uiPriority w:val="99"/>
    <w:semiHidden/>
    <w:unhideWhenUsed/>
    <w:rsid w:val="0098532C"/>
    <w:rPr>
      <w:b/>
      <w:bCs/>
    </w:rPr>
  </w:style>
  <w:style w:type="character" w:customStyle="1" w:styleId="CommentSubjectChar">
    <w:name w:val="Comment Subject Char"/>
    <w:basedOn w:val="CommentTextChar"/>
    <w:link w:val="CommentSubject"/>
    <w:uiPriority w:val="99"/>
    <w:semiHidden/>
    <w:rsid w:val="00985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Michelle</dc:creator>
  <cp:keywords/>
  <dc:description/>
  <cp:lastModifiedBy>Microsoft Office User</cp:lastModifiedBy>
  <cp:revision>7</cp:revision>
  <cp:lastPrinted>2008-09-25T18:05:00Z</cp:lastPrinted>
  <dcterms:created xsi:type="dcterms:W3CDTF">2023-07-21T13:19:00Z</dcterms:created>
  <dcterms:modified xsi:type="dcterms:W3CDTF">2023-08-21T15:36:00Z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02fc3aad2523c50e60fff3e3067f5cbe086178d1ab561dbfb938563c4ca3ad86</vt:lpwstr>
  </property>
</Properties>
</file>